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C06EC">
      <w:pPr>
        <w:pageBreakBefore w:val="0"/>
        <w:widowControl w:val="0"/>
        <w:kinsoku/>
        <w:wordWrap/>
        <w:bidi w:val="0"/>
        <w:spacing w:after="0" w:line="440" w:lineRule="exact"/>
        <w:jc w:val="both"/>
        <w:rPr>
          <w:rFonts w:hint="eastAsia" w:ascii="黑体" w:hAnsi="黑体" w:eastAsia="黑体" w:cs="黑体"/>
          <w:color w:val="auto"/>
          <w:spacing w:val="-6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-6"/>
          <w:sz w:val="32"/>
          <w:szCs w:val="32"/>
          <w:lang w:val="en-US" w:eastAsia="zh-CN"/>
        </w:rPr>
        <w:t>附件3</w:t>
      </w:r>
    </w:p>
    <w:p w14:paraId="67694F54">
      <w:pPr>
        <w:spacing w:before="0" w:after="0" w:line="240" w:lineRule="auto"/>
        <w:jc w:val="center"/>
        <w:rPr>
          <w:rFonts w:hint="eastAsia" w:ascii="宋体" w:hAnsi="宋体" w:eastAsia="宋体" w:cs="宋体"/>
          <w:b/>
          <w:bCs w:val="0"/>
          <w:color w:val="auto"/>
          <w:sz w:val="44"/>
          <w:lang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44"/>
          <w:lang w:eastAsia="zh-CN"/>
        </w:rPr>
        <w:t>首届贵州特色科普研学产品设计大赛</w:t>
      </w:r>
    </w:p>
    <w:p w14:paraId="2FFA033D">
      <w:pPr>
        <w:spacing w:before="0" w:after="0" w:line="240" w:lineRule="auto"/>
        <w:jc w:val="center"/>
        <w:rPr>
          <w:rFonts w:hint="eastAsia" w:ascii="宋体" w:hAnsi="宋体" w:eastAsia="宋体" w:cs="宋体"/>
          <w:b/>
          <w:bCs w:val="0"/>
          <w:color w:val="auto"/>
          <w:sz w:val="44"/>
          <w:lang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44"/>
          <w:lang w:eastAsia="zh-CN"/>
        </w:rPr>
        <w:t>赛程赛规</w:t>
      </w:r>
    </w:p>
    <w:p w14:paraId="218AC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20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10"/>
          <w:szCs w:val="10"/>
          <w:lang w:eastAsia="zh-CN"/>
        </w:rPr>
      </w:pPr>
    </w:p>
    <w:p w14:paraId="20968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/>
        </w:rPr>
        <w:t>第一章  总  则</w:t>
      </w:r>
    </w:p>
    <w:p w14:paraId="347B27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 xml:space="preserve">第一条 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认真落实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《中华人民共和国科学技术普及法》《全民科学素质行动规划纲要（2021—2035年）》精神，进一步提升全民科学素质，持续丰富全省优质科普研学产品供给，培育一批科学性强、体验性好、可落地可推广的精品科普研学产品，打造贵州特色科普研学品牌，特制定本赛程赛规。</w:t>
      </w:r>
    </w:p>
    <w:p w14:paraId="72653C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第二条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大赛以“科创贵州·科普黔行”为主题，坚持公益导向、育人为本、公平公开、择优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获奖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的原则。</w:t>
      </w:r>
    </w:p>
    <w:p w14:paraId="0C898A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第三条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本赛程赛规适用于首届贵州特色科普研学产品设计大赛的组织、报名、评审、奖励和成果运用及监督管理等各项工作。</w:t>
      </w:r>
    </w:p>
    <w:p w14:paraId="1296F46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lang w:eastAsia="zh-CN"/>
        </w:rPr>
      </w:pPr>
    </w:p>
    <w:p w14:paraId="4D1EA7F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lang w:eastAsia="zh-CN"/>
        </w:rPr>
        <w:t>第二章  组织机构</w:t>
      </w:r>
    </w:p>
    <w:p w14:paraId="39A224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第四条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主办单位：贵州省科学技术协会、贵州省教育厅、贵州省科学技术厅、贵州省文化和旅游厅、共青团贵州省委。</w:t>
      </w:r>
    </w:p>
    <w:p w14:paraId="78F670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第五条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承办单位：贵州省科普创新服务中心、贵州科技馆（省青少年科技活动中心）、贵州省科普创新促进会。</w:t>
      </w:r>
    </w:p>
    <w:p w14:paraId="49EB47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第六条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大赛设立组织委员会（以下简称“组委会”），负责大赛重大事项决策、评审组织、奖项审定等工作。组委会办公室设在贵州省科普创新服务中心、贵州科技馆（省青少年科技活动中心），负责日常组织、赛程安排、联络协调、宣传保障等工作。</w:t>
      </w:r>
    </w:p>
    <w:p w14:paraId="0494D3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第七条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大赛设立专家评审委员会，邀请省内外科普教育、课程研发、文旅运营、安全管理、市场投资等领域专家组成，专家视报名情况实行回避，承担评审、指导、产品提质等工作。</w:t>
      </w:r>
    </w:p>
    <w:p w14:paraId="2DEE7C5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lang w:eastAsia="zh-CN"/>
        </w:rPr>
      </w:pPr>
    </w:p>
    <w:p w14:paraId="51DC31B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lang w:eastAsia="zh-CN"/>
        </w:rPr>
        <w:t>第三章  参赛对象与产品类别</w:t>
      </w:r>
    </w:p>
    <w:p w14:paraId="1B8ACA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第八条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参赛对象为具备独立法人资格，且拥有或能够整合开发科普研学资源的省内外单位，主要包括：</w:t>
      </w:r>
    </w:p>
    <w:p w14:paraId="0F6B68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（一）高等院校、科研院所、科技型企业等；</w:t>
      </w:r>
    </w:p>
    <w:p w14:paraId="7279AD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（二）科普基地、科博场馆、文博场馆等面向公众开展科普教育的机构；</w:t>
      </w:r>
    </w:p>
    <w:p w14:paraId="2BC1CC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（三）现代工业、现代农业、风景名胜区等具备科普价值与开放条件的运营主体；</w:t>
      </w:r>
    </w:p>
    <w:p w14:paraId="620677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（四）研学服务机构、文旅企业等具备产品开发与运营能力的经营实体；</w:t>
      </w:r>
    </w:p>
    <w:p w14:paraId="607167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（五）行业协会（商会）、科技社团及其他能提供科普研学服务的单位。</w:t>
      </w:r>
    </w:p>
    <w:p w14:paraId="79033A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同一单位可分别申报线路产品、阵地产品，可填报多张报名表，每个产品单独填报。</w:t>
      </w:r>
    </w:p>
    <w:p w14:paraId="6AEF80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第九条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大赛设两类参赛产品：</w:t>
      </w:r>
    </w:p>
    <w:p w14:paraId="302CE2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（一）科普研学线路产品。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精心串联2个及以上科普研学点位，全程配备至少1名“科普导师”负责统筹，每个点位提供至少1门特色科普研学课程；具备目标清晰、内容科学、日程合理的完整课程方案；明确执行主体、研学时长与线路区域；费用构成清晰合理；制定全程安全预案与应急处置流程。</w:t>
      </w:r>
    </w:p>
    <w:p w14:paraId="1BBCE3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（二）科普研学阵地产品。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单一场馆、实验室或产业基地，具有明确的科普研学主题定位；开发至少1门与阵地特色相匹配、经专家审核的特色课程；提供沉浸式、互动式真实场景与设施；配备至少1名专业科普研学老师；具备完善的安全应急预案、预约管理机制及配套保障。</w:t>
      </w:r>
    </w:p>
    <w:p w14:paraId="17F67E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第十条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 xml:space="preserve">  产品主题包括但不限于：天文宇宙、地球地质、桥梁工程、航空航天、数字算力、生态环境、山地农业、现代工业、超级工程、生命健康、非遗传统、科创平台等方向。参赛产品须立足贵州资源禀赋，凸显贵州科普特色。</w:t>
      </w:r>
    </w:p>
    <w:p w14:paraId="4828F04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lang w:eastAsia="zh-CN"/>
        </w:rPr>
      </w:pPr>
    </w:p>
    <w:p w14:paraId="59F62A9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lang w:eastAsia="zh-CN"/>
        </w:rPr>
        <w:t>第四章  赛程安排</w:t>
      </w:r>
    </w:p>
    <w:p w14:paraId="251A8A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第十一条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大赛实行线上报名注册、两级评审、公示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入库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，赛程分为四个阶段：</w:t>
      </w:r>
    </w:p>
    <w:p w14:paraId="1A7F83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（一）报名注册（自通知发布之日起至2026年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日17:00）。参赛单位通过大赛系统（https://www.gzkpcx.cn/）注册报名，在线填报作品信息，上传相关材料。具体报名要求以网站公布为准。</w:t>
      </w:r>
    </w:p>
    <w:p w14:paraId="535321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（二）线上初审（2026年12月上旬）。组委会办公室对申报材料进行形式审查，组织专家对照评审标准，从材料完整性、科学规范性、贵州特色适配度、创新度、落地可行性等维度综合评审，择优晋级现场决赛。</w:t>
      </w:r>
    </w:p>
    <w:p w14:paraId="33886F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（三）现场决赛（2026年12月下旬）。晋级单位通过PPT汇报、实物展示、成果演示等方式进行路演，专家现场问答、综合评议、集中打分，确定获奖等次。</w:t>
      </w:r>
    </w:p>
    <w:p w14:paraId="23C3AE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（四）公示入库。获奖名单向社会公示，无异议后在“多彩贵州科普研学”平台正式发布，面向全省示范推广。</w:t>
      </w:r>
    </w:p>
    <w:p w14:paraId="56E00DA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lang w:eastAsia="zh-CN"/>
        </w:rPr>
      </w:pPr>
    </w:p>
    <w:p w14:paraId="4E0CE1C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lang w:eastAsia="zh-CN"/>
        </w:rPr>
        <w:t>第五章  评审标准</w:t>
      </w:r>
    </w:p>
    <w:p w14:paraId="52A68F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第十二条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评审坚持公平、公正、公开原则，由专家评审委员会综合打分，重点从以下五个维度评价：</w:t>
      </w:r>
    </w:p>
    <w:p w14:paraId="07561A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（一）规范性。申报材料齐全完整，格式规范，要素清晰；内容符合国家政策导向和科普宣传要求；作品为原创，权属清晰，无抄袭侵权；申报主体资质真实有效。</w:t>
      </w:r>
    </w:p>
    <w:p w14:paraId="34EABA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（二）科学性。科学知识准确，无常识性错误；课程目标清晰，分学段设计合理，符合青少年认知特点和“做中学”实践要求；具有较好的教育价值，有助于提升学生科学素养和实践能力。</w:t>
      </w:r>
    </w:p>
    <w:p w14:paraId="761ACB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（三）特色性。紧密结合贵州自然生态、地质地貌、民族文化、产业资源等本土特色，贵州辨识度高；主题鲜明聚焦，围绕核心科普主题展开。</w:t>
      </w:r>
    </w:p>
    <w:p w14:paraId="3DCEF5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（四）实践性。注重学生动手体验和探究实践环节，有可供实际操作的内容设计；具备真实场景和设施条件；配备专业指导人员，能够保障研学活动有效开展。</w:t>
      </w:r>
    </w:p>
    <w:p w14:paraId="389702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（五）可运营性。方案成熟可行，具备落地实施条件；费用构成清晰合理；安全保障措施完善；具备常态化运营和持续开展的基础。</w:t>
      </w:r>
    </w:p>
    <w:p w14:paraId="3DC763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第十三条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 xml:space="preserve">  科创平台方向作品重点考察平台开放程度和课程转化能力。评审采用综合打分方式，好中选优，不搞平衡照顾。</w:t>
      </w:r>
    </w:p>
    <w:p w14:paraId="3D7A00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第十四条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评审程序包括：形式审查并反馈结果；专家随机分组、签署回避与保密承诺书；独立评分、集中评议；决赛当场亮分、签字确认；评审资料归档备查。任何单位和个人不得干预评审。评审细则与本赛程赛规同步在大赛系统公布，接受社会监督。</w:t>
      </w:r>
    </w:p>
    <w:p w14:paraId="401A589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lang w:eastAsia="zh-CN"/>
        </w:rPr>
      </w:pPr>
    </w:p>
    <w:p w14:paraId="70CA75D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lang w:eastAsia="zh-CN"/>
        </w:rPr>
        <w:t>第六章  奖项设置与成果运用</w:t>
      </w:r>
    </w:p>
    <w:p w14:paraId="1C29E1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第十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大赛根据产品质量动态核定获奖名额，设一等奖、二等奖、三等奖、优秀奖若干名。可根据参赛情况设立专项奖项。</w:t>
      </w:r>
    </w:p>
    <w:p w14:paraId="757C92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第十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获奖产品纳入“多彩贵州科普研学”平台推荐资源目录，面向全省学校和公众推广使用。优秀作品由组委会组织与学校、景区、旅行社、文旅集团、投资机构等对接，推动成果转化和落地运营。</w:t>
      </w:r>
    </w:p>
    <w:p w14:paraId="04859E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第十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产品报名即视为同意组委会对优秀产品开展非商业性公益科普研学、入库存档、发布对接、行业交流等使用；涉及商业转化的，由相关方另行约定。</w:t>
      </w:r>
    </w:p>
    <w:p w14:paraId="75AB5B0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lang w:eastAsia="zh-CN"/>
        </w:rPr>
      </w:pPr>
    </w:p>
    <w:p w14:paraId="533B34F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lang w:eastAsia="zh-CN"/>
        </w:rPr>
        <w:t>第七章  纪律与监督</w:t>
      </w:r>
    </w:p>
    <w:p w14:paraId="47E595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第十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参赛单位应保证申报材料真实、准确、完整，如有虚假，取消参赛资格；发生知识产权纠纷，由申报单位承担全部责任。</w:t>
      </w:r>
    </w:p>
    <w:p w14:paraId="2DC6EB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第十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大赛不收取报名费。建立申诉与仲裁机制，评审过程全程接受监督，专家严格执行回避制度，确保公平公正。</w:t>
      </w:r>
    </w:p>
    <w:p w14:paraId="3C9956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第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十条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对评审结果有异议的，可在公示期内向组委会办公室书面提出，由组委会复核答复。</w:t>
      </w:r>
    </w:p>
    <w:p w14:paraId="37438D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lang w:eastAsia="zh-CN"/>
        </w:rPr>
      </w:pPr>
    </w:p>
    <w:p w14:paraId="5F35E29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lang w:eastAsia="zh-CN"/>
        </w:rPr>
        <w:t>第八章  附  则</w:t>
      </w:r>
    </w:p>
    <w:p w14:paraId="088308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第二十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本赛程赛规由大赛组委会负责解释。未尽事宜，由组委会办公室通过大赛系统和官方渠道另行通知。</w:t>
      </w:r>
    </w:p>
    <w:p w14:paraId="50ED257B">
      <w:pPr>
        <w:pStyle w:val="4"/>
        <w:rPr>
          <w:rFonts w:hint="default" w:ascii="仿宋" w:hAnsi="仿宋" w:eastAsia="仿宋" w:cs="仿宋"/>
          <w:color w:val="auto"/>
          <w:spacing w:val="-6"/>
          <w:sz w:val="28"/>
          <w:szCs w:val="28"/>
          <w:lang w:val="en-US" w:eastAsia="zh-CN"/>
        </w:rPr>
      </w:pPr>
    </w:p>
    <w:p w14:paraId="6A71D7B8">
      <w:pPr>
        <w:rPr>
          <w:rFonts w:hint="default" w:ascii="仿宋" w:hAnsi="仿宋" w:eastAsia="仿宋" w:cs="仿宋"/>
          <w:color w:val="auto"/>
          <w:spacing w:val="-6"/>
          <w:sz w:val="28"/>
          <w:szCs w:val="28"/>
          <w:lang w:val="en-US" w:eastAsia="zh-CN"/>
        </w:rPr>
      </w:pPr>
    </w:p>
    <w:p w14:paraId="24AEC399">
      <w:pPr>
        <w:pStyle w:val="4"/>
        <w:rPr>
          <w:rFonts w:hint="default" w:ascii="仿宋" w:hAnsi="仿宋" w:eastAsia="仿宋" w:cs="仿宋"/>
          <w:color w:val="auto"/>
          <w:spacing w:val="-6"/>
          <w:sz w:val="28"/>
          <w:szCs w:val="28"/>
          <w:lang w:val="en-US" w:eastAsia="zh-CN"/>
        </w:rPr>
      </w:pPr>
    </w:p>
    <w:p w14:paraId="740D8673">
      <w:pPr>
        <w:rPr>
          <w:rFonts w:hint="default" w:ascii="仿宋" w:hAnsi="仿宋" w:eastAsia="仿宋" w:cs="仿宋"/>
          <w:color w:val="auto"/>
          <w:spacing w:val="-6"/>
          <w:sz w:val="28"/>
          <w:szCs w:val="28"/>
          <w:lang w:val="en-US" w:eastAsia="zh-CN"/>
        </w:rPr>
      </w:pPr>
    </w:p>
    <w:p w14:paraId="3CF8B0D7">
      <w:pPr>
        <w:pStyle w:val="4"/>
        <w:rPr>
          <w:rFonts w:hint="default" w:ascii="仿宋" w:hAnsi="仿宋" w:eastAsia="仿宋" w:cs="仿宋"/>
          <w:color w:val="auto"/>
          <w:spacing w:val="-6"/>
          <w:sz w:val="28"/>
          <w:szCs w:val="28"/>
          <w:lang w:val="en-US" w:eastAsia="zh-CN"/>
        </w:rPr>
      </w:pPr>
    </w:p>
    <w:p w14:paraId="7E6029F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673562"/>
    <w:rsid w:val="082E2BFB"/>
    <w:rsid w:val="14F67CF1"/>
    <w:rsid w:val="56501BA9"/>
    <w:rsid w:val="5E6E1B79"/>
    <w:rsid w:val="76EE55AC"/>
    <w:rsid w:val="7D67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54A1" w:themeColor="accent1" w:themeShade="BF"/>
      <w:sz w:val="28"/>
      <w:szCs w:val="28"/>
    </w:rPr>
  </w:style>
  <w:style w:type="paragraph" w:styleId="4">
    <w:name w:val="heading 4"/>
    <w:basedOn w:val="1"/>
    <w:next w:val="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874CB" w:themeColor="accent1"/>
      <w14:textFill>
        <w14:solidFill>
          <w14:schemeClr w14:val="accent1"/>
        </w14:solidFill>
      </w14:textFill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  <w:style w:type="paragraph" w:styleId="5">
    <w:name w:val="Body Text"/>
    <w:basedOn w:val="1"/>
    <w:unhideWhenUsed/>
    <w:qFormat/>
    <w:uiPriority w:val="99"/>
    <w:pPr>
      <w:spacing w:after="120"/>
    </w:pPr>
  </w:style>
  <w:style w:type="paragraph" w:styleId="6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2026-10-14T09:04:00Z</dcterms:created>
  <dc:creator>夏鸣浅唱</dc:creator>
  <cp:lastModifiedBy>夏鸣浅唱</cp:lastModifiedBy>
  <dcterms:modified xsi:type="dcterms:W3CDTF">2026-10-14T09:06:52Z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0EE09CBA0EE345AE83C0B30F79FC4292_13</vt:lpwstr>
  </property>
  <property fmtid="{D5CDD505-2E9C-101B-9397-08002B2CF9AE}" pid="4" name="KSOTemplateDocerSaveRecord">
    <vt:lpwstr>eyJoZGlkIjoiNDk0Y2VkNTk1M2ZlNjIzZjZmMzAzMjFiYzM5NDFhNjQiLCJ1c2VySWQiOiIzODE4NTg3NzkifQ==</vt:lpwstr>
  </property>
</Properties>
</file>