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9CB825">
      <w:pPr>
        <w:snapToGrid w:val="0"/>
        <w:spacing w:line="580" w:lineRule="exact"/>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r>
        <w:rPr>
          <w:rFonts w:hint="eastAsia" w:ascii="黑体" w:hAnsi="黑体" w:eastAsia="黑体" w:cs="黑体"/>
          <w:sz w:val="32"/>
          <w:szCs w:val="32"/>
        </w:rPr>
        <w:t>：</w:t>
      </w:r>
    </w:p>
    <w:p w14:paraId="5D12AC7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小标宋" w:hAnsi="小标宋" w:eastAsia="小标宋" w:cs="小标宋"/>
          <w:sz w:val="44"/>
          <w:szCs w:val="44"/>
          <w:lang w:val="en-US" w:eastAsia="zh-CN"/>
        </w:rPr>
      </w:pPr>
      <w:r>
        <w:rPr>
          <w:rFonts w:hint="eastAsia" w:ascii="小标宋" w:hAnsi="小标宋" w:eastAsia="小标宋" w:cs="小标宋"/>
          <w:sz w:val="44"/>
          <w:szCs w:val="44"/>
          <w:lang w:val="en-US" w:eastAsia="zh-CN"/>
        </w:rPr>
        <w:t>2027年度贵州省科协决策咨询项目</w:t>
      </w:r>
    </w:p>
    <w:p w14:paraId="059E7DF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default" w:ascii="小标宋" w:hAnsi="小标宋" w:eastAsia="小标宋" w:cs="小标宋"/>
          <w:sz w:val="44"/>
          <w:szCs w:val="44"/>
          <w:lang w:val="en-US" w:eastAsia="zh-CN"/>
        </w:rPr>
      </w:pPr>
      <w:r>
        <w:rPr>
          <w:rFonts w:hint="eastAsia" w:ascii="小标宋" w:hAnsi="小标宋" w:eastAsia="小标宋" w:cs="小标宋"/>
          <w:sz w:val="44"/>
          <w:szCs w:val="44"/>
          <w:lang w:val="en-US" w:eastAsia="zh-CN"/>
        </w:rPr>
        <w:t>申报指南</w:t>
      </w:r>
    </w:p>
    <w:p w14:paraId="17F644AF">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一、重点课题</w:t>
      </w:r>
    </w:p>
    <w:p w14:paraId="4270F7F5">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1.贵州新能源集成融合发展研究</w:t>
      </w:r>
    </w:p>
    <w:p w14:paraId="361A4E82">
      <w:pPr>
        <w:ind w:firstLine="640" w:firstLineChars="20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贵州新能源产业高质量发展和新型能源体系建设，聚焦风、光、水、火、储等多能互补集成融合，对全省新能源资源禀赋、开发利用现状、电网消纳能力和产业配套基础进行调研，分析集成融合发展的堵点难点，研判重点方向和实现路径，提出促进贵州新能源集成融合发展的对策建议。</w:t>
      </w:r>
    </w:p>
    <w:p w14:paraId="622C8E6B">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2.强化比较优势战略下贵州算力资源向产业创新优势转化的堵点、机制与政策研究</w:t>
      </w:r>
    </w:p>
    <w:p w14:paraId="6D56D2E5">
      <w:pPr>
        <w:ind w:firstLine="640"/>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强化比较优势战略部署，结合贵州算力资源禀赋和产业发展实际，聚焦算力资源向产业创新优势转化的关键环节，对全省算力基础设施建设、算力供给能力、产业应用场景等情况进行调研，系统梳理转化过程中的堵点难点，深入分析资源整合、利益联结、制度供给等机制问题，提出推动算力资源优势转化为产业创新优势的对策建议。</w:t>
      </w:r>
    </w:p>
    <w:p w14:paraId="28E04CCE">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3.贵州优质稻新品种选育成果转化堵点与科企协同创新机制研究</w:t>
      </w:r>
    </w:p>
    <w:p w14:paraId="182EB4B0">
      <w:pPr>
        <w:ind w:firstLine="640"/>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保障粮食安全和推进种业振兴，聚焦优质稻新品种选育与成果转化，对全省优质稻育种创新平台建设、品种审定推广、科企合作模式等情况进行调研，深入分析育种成果转化中的堵点问题，研判科企协同创新的有效模式和运行机制，提出加快贵州优质稻新品种选育成果转化、构建科企协同创新机制的对策建议。</w:t>
      </w:r>
    </w:p>
    <w:p w14:paraId="74F1C51D">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4.国家区域医疗中心赋能贵州国际医产融合发展路径研究</w:t>
      </w:r>
    </w:p>
    <w:p w14:paraId="56401DDE">
      <w:pPr>
        <w:ind w:firstLine="640"/>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国家区域医疗中心建设和健康贵州建设，聚焦医疗、医药、康养等产业融合发展，对全省国家区域医疗中心建设运营、优质医疗资源扩容下沉、医产融合基础条件等情况进行调研，分析中心赋能医产融合发展的制约因素，研判融合发展的重点领域和可行路径，提出对策建议。</w:t>
      </w:r>
    </w:p>
    <w:p w14:paraId="147361B2">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二、一般课题</w:t>
      </w:r>
    </w:p>
    <w:p w14:paraId="49630DB5">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1.面向贵州多民族场景的大模型本土语言资源库构建与应用研究</w:t>
      </w:r>
    </w:p>
    <w:p w14:paraId="2FA9A1A8">
      <w:pPr>
        <w:ind w:firstLine="640"/>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人工智能赋能民族地区发展，结合贵州多民族语言文化资源禀赋，聚焦大模型技术在本土语言场景的应用需求，对全省民族语言资源分布、数字化保护现状、人工智能应用基础等情况进行调研，分析本土语言资源库构建的技术路径与数据治理问题，研判大模型多语言应用的重点场景，提出构建与应用的对策建议。</w:t>
      </w:r>
    </w:p>
    <w:p w14:paraId="74B692AD">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2.贵州具身智能数据采集产业培育对策研究</w:t>
      </w:r>
    </w:p>
    <w:p w14:paraId="04BED2F8">
      <w:pPr>
        <w:ind w:firstLine="640" w:firstLineChars="20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人工智能与实体经济深度融合，聚焦具身智能产业发展中的数据要素供给，对全省具身智能数据采集产业基础、数据资源条件、应用场景需求等进行调研，分析产业培育面临的突出问题，研判发展方向和培育重点，提出对策建议。</w:t>
      </w:r>
    </w:p>
    <w:p w14:paraId="34DFD10A">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3.关于提升成渝“桥头堡”遵义交通枢纽能级的对策研究</w:t>
      </w:r>
    </w:p>
    <w:p w14:paraId="493E6AD2">
      <w:pPr>
        <w:ind w:firstLine="640" w:firstLineChars="20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服务融入成渝地区双城经济圈建设，结合遵义作为贵州北向开放“桥头堡”的定位，聚焦交通枢纽能级提升，对遵义交通基础设施网络、多式联运体系、枢纽经济发展等情况进行调研，深入分析能级提升的短板制约，研判重点任务和实现路径，提出对策建议。</w:t>
      </w:r>
    </w:p>
    <w:p w14:paraId="240FCF4F">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4.贵州省新型综合能源基地产能高质量消纳路径与对策研究</w:t>
      </w:r>
    </w:p>
    <w:p w14:paraId="6628CAEC">
      <w:pPr>
        <w:ind w:firstLine="640" w:firstLineChars="20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建设国家新型综合能源基地，聚焦能源产能高质量消纳，对全省煤、电、气、新能源等能源生产供应与市场需求、外送通道、储能配置等情况进行调研，分析产能消纳面临的突出矛盾，深入研判高质量消纳的实现路径，提出对策建议。</w:t>
      </w:r>
    </w:p>
    <w:p w14:paraId="1408B860">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5.贵州高铝粉煤灰“富矿精开”路径研究——基于镓、铝战略金属协同提取的产业决策</w:t>
      </w:r>
    </w:p>
    <w:p w14:paraId="1D3FD067">
      <w:pPr>
        <w:ind w:firstLine="640" w:firstLineChars="20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富矿精开”战略部署和战略性矿产资源安全保障，聚焦高铝粉煤灰中镓、铝等战略金属协同提取利用，对全省高铝粉煤灰资源储量、综合利用技术、产业发展现状等进行调研，分析资源化利用的技术经济可行性与制约因素，研判“富矿精开”的产业路径，提出决策建议。</w:t>
      </w:r>
    </w:p>
    <w:p w14:paraId="663949F0">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6.我省女性科技工作者心理健康状况及对策研究</w:t>
      </w:r>
    </w:p>
    <w:p w14:paraId="496254F5">
      <w:pPr>
        <w:ind w:firstLine="640"/>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关心关爱科技工作者，聚焦女性科技工作者心理健康，对全省女性科技工作者心理健康状况、压力来源、支持保障等情况进行调研，科学分析影响心理健康的突出因素，深入研判干预支持路径，提出对策建议。</w:t>
      </w:r>
    </w:p>
    <w:p w14:paraId="5E02BBB9">
      <w:pPr>
        <w:ind w:firstLine="640" w:firstLineChars="200"/>
        <w:rPr>
          <w:rFonts w:hint="default"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7.土著益生菌赋能农业高质量绿色转型发展现状、问题及对策建议</w:t>
      </w:r>
    </w:p>
    <w:p w14:paraId="7F08323F">
      <w:pPr>
        <w:ind w:firstLine="640"/>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围绕农业绿色发展和产业提质增效，聚焦土著益生菌在农业领域的开发应用，对全省土著益生菌资源发掘、菌剂研发生产、推广应用等情况进行调研，分析其在促进农业高质量绿色转型中的成效与问题，深入研判产业化发展的路径模式，提出对策建议。</w:t>
      </w:r>
    </w:p>
    <w:p w14:paraId="7533AC32">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8.“算力”赋能“创造力”：我省游戏产业高质量发展对策研究</w:t>
      </w:r>
    </w:p>
    <w:p w14:paraId="4CB81BBC">
      <w:pPr>
        <w:ind w:firstLine="640" w:firstLineChars="200"/>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立足贵州大数据产业发展优势，深入调研我省游戏产业发展的做法、存在的突出问题，与国内游戏产业发展的经验做法开展比较分析，提出我省游戏产业高质量发展的对策建议。</w:t>
      </w:r>
    </w:p>
    <w:p w14:paraId="24E17557">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三、青年课题</w:t>
      </w:r>
    </w:p>
    <w:p w14:paraId="4D8BAFCE">
      <w:pPr>
        <w:ind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pacing w:val="0"/>
          <w:w w:val="100"/>
          <w:kern w:val="2"/>
          <w:sz w:val="32"/>
          <w:szCs w:val="32"/>
          <w:lang w:val="en-US" w:eastAsia="zh-CN" w:bidi="ar-SA"/>
        </w:rPr>
        <w:t>参考但不局限于以下内容：</w:t>
      </w:r>
    </w:p>
    <w:p w14:paraId="1F888838">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1.贵州科技人才思想政治引领与创新能力提升的协同机制研究</w:t>
      </w:r>
    </w:p>
    <w:p w14:paraId="33985D5F">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2.贵州省青年科技人才分类评价、稳定支持与培育机制研究</w:t>
      </w:r>
    </w:p>
    <w:p w14:paraId="49D00B19">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3.贵州酸汤功能化升级与百亿产业倍增路径研究</w:t>
      </w:r>
    </w:p>
    <w:p w14:paraId="03E096D7">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4.碳足迹约束下贵州磷酸铁锂动力电池产业绿色竞争力提升路径及省级治理机制研究</w:t>
      </w:r>
    </w:p>
    <w:p w14:paraId="0CDEDB49">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5.贵州省“五健”一体化科普服务体系构建与实施路径研究</w:t>
      </w:r>
    </w:p>
    <w:p w14:paraId="4239FC0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6.贵州省乡村小学科技教育存在的突出问题及对策研究</w:t>
      </w:r>
    </w:p>
    <w:p w14:paraId="52B12B8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7.AI轻量化数字工具赋能贵州个体工商户数字化转型路径研究</w:t>
      </w:r>
    </w:p>
    <w:p w14:paraId="47FCB510">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8.构建我省人工智能场景创新全生命周期管理机制研究</w:t>
      </w:r>
    </w:p>
    <w:p w14:paraId="7CB9EC3A">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9.贵州特色科普资源转化为中小学科学课程的路径与机制研究</w:t>
      </w:r>
    </w:p>
    <w:p w14:paraId="05ECF82E">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10.贵州省运用造血干细胞微移植技术治疗老年急性髓系白血病（AML）实施路径研究</w:t>
      </w:r>
    </w:p>
    <w:p w14:paraId="66C53BE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11.贵州山地茶园采茶机器人应用条件与推广机制研究</w:t>
      </w:r>
    </w:p>
    <w:p w14:paraId="71C2408D">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12.贵州省算力化债路径研究</w:t>
      </w:r>
    </w:p>
    <w:p w14:paraId="18A59F10">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13.以城市更新激活贵州高质量发展新动能的战略思考</w:t>
      </w:r>
    </w:p>
    <w:p w14:paraId="3B47B435">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14.贵州特色食品产业链污染风险精准监管体系建设研究</w:t>
      </w:r>
    </w:p>
    <w:p w14:paraId="2697A5A7">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15.贵州桥旅融合的价值转化效率与品牌化路径研究</w:t>
      </w:r>
    </w:p>
    <w:p w14:paraId="359855C1">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16.贵州省特色农业害虫绿色防控技术集成与推广应用对策研究</w:t>
      </w:r>
    </w:p>
    <w:p w14:paraId="2285001D">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17.贵州民族村寨山地科普研学旅游发展路径研究</w:t>
      </w:r>
    </w:p>
    <w:p w14:paraId="6C4AAB61">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18.贵州“隐性气候资源”助力康养产业高质量发展路径研究</w:t>
      </w:r>
    </w:p>
    <w:p w14:paraId="200FA9CA">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19.贵州磷矿资源利用率提升路径研究</w:t>
      </w:r>
    </w:p>
    <w:p w14:paraId="57ABF4AA">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20.贵州村字号IP引擎推动康旅产业融合发展路径研究</w:t>
      </w:r>
    </w:p>
    <w:p w14:paraId="71C46B6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21.贵州特色生物资源细胞产业化发展路径研究</w:t>
      </w:r>
    </w:p>
    <w:p w14:paraId="18603010">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22.贵州食用菌精深加工产业发展瓶颈与对策研究</w:t>
      </w:r>
    </w:p>
    <w:p w14:paraId="1A2A943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23.贵州夏秋茶高效利用对策研究</w:t>
      </w:r>
    </w:p>
    <w:p w14:paraId="6256B2DF">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24.贵州苗侗医药资源数字化保护与产业化创新发展对策研究</w:t>
      </w:r>
    </w:p>
    <w:p w14:paraId="047D14C5">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25.以倾听网络民声为核心推动贵州文旅新业态高质量发展的对策建议</w:t>
      </w:r>
    </w:p>
    <w:p w14:paraId="4E21B9C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26.科技赋能“黔山优品”特色农业提质增效路径研究</w:t>
      </w:r>
    </w:p>
    <w:p w14:paraId="5323E663">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27.“十五五”时期贵州民族地区建设生育友好型社会妇幼健康保障能力研究</w:t>
      </w:r>
    </w:p>
    <w:p w14:paraId="652E6D7E">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28.加快推进儿童友好型社区建设的路径探索</w:t>
      </w:r>
    </w:p>
    <w:p w14:paraId="0B6B2244">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29.区块链溯源“梵净抹茶”品牌价值提升路径研究</w:t>
      </w:r>
    </w:p>
    <w:p w14:paraId="77817060">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30.贵州省研发经费投入强度研究</w:t>
      </w:r>
    </w:p>
    <w:p w14:paraId="311CAD35">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31.以“词元出海”培育贵州数据经济增长路径研究</w:t>
      </w:r>
    </w:p>
    <w:p w14:paraId="7ED8FEF2">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32.贵州“6+3”产业数据资产金融化路径研究</w:t>
      </w:r>
    </w:p>
    <w:p w14:paraId="6749104B">
      <w:pPr>
        <w:ind w:firstLine="640" w:firstLineChars="20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四、贵州省科技工作者状况调查课题</w:t>
      </w:r>
    </w:p>
    <w:p w14:paraId="07BDCAC2">
      <w:pPr>
        <w:ind w:firstLine="640" w:firstLineChars="200"/>
        <w:rPr>
          <w:rFonts w:hint="eastAsia" w:ascii="方正楷体_GB2312" w:hAnsi="方正楷体_GB2312" w:eastAsia="方正楷体_GB2312" w:cs="方正楷体_GB2312"/>
          <w:sz w:val="32"/>
          <w:szCs w:val="32"/>
          <w:lang w:val="en-US" w:eastAsia="zh-CN"/>
        </w:rPr>
      </w:pPr>
      <w:r>
        <w:rPr>
          <w:rFonts w:hint="eastAsia" w:ascii="方正楷体_GB2312" w:hAnsi="方正楷体_GB2312" w:eastAsia="方正楷体_GB2312" w:cs="方正楷体_GB2312"/>
          <w:sz w:val="32"/>
          <w:szCs w:val="32"/>
          <w:lang w:val="en-US" w:eastAsia="zh-CN"/>
        </w:rPr>
        <w:t>1. 2027年贵州省科技工作者状况调查</w:t>
      </w:r>
    </w:p>
    <w:p w14:paraId="260CE2E5">
      <w:pPr>
        <w:ind w:firstLine="640" w:firstLineChars="200"/>
        <w:rPr>
          <w:rFonts w:hint="eastAsia" w:ascii="仿宋_GB2312" w:hAnsi="仿宋_GB2312" w:eastAsia="仿宋_GB2312" w:cs="仿宋_GB2312"/>
          <w:sz w:val="32"/>
          <w:szCs w:val="32"/>
        </w:rPr>
      </w:pPr>
      <w:r>
        <w:rPr>
          <w:rFonts w:hint="default" w:ascii="Times New Roman" w:hAnsi="Times New Roman" w:eastAsia="仿宋_GB2312" w:cs="Times New Roman"/>
          <w:color w:val="auto"/>
          <w:sz w:val="32"/>
          <w:szCs w:val="32"/>
          <w:lang w:val="en-US" w:eastAsia="zh-CN"/>
        </w:rPr>
        <w:t>为掌握</w:t>
      </w:r>
      <w:r>
        <w:rPr>
          <w:rFonts w:hint="eastAsia" w:eastAsia="仿宋_GB2312" w:cs="Times New Roman"/>
          <w:color w:val="auto"/>
          <w:sz w:val="32"/>
          <w:szCs w:val="32"/>
          <w:lang w:val="en-US" w:eastAsia="zh-CN"/>
        </w:rPr>
        <w:t>我</w:t>
      </w:r>
      <w:r>
        <w:rPr>
          <w:rFonts w:hint="default" w:ascii="Times New Roman" w:hAnsi="Times New Roman" w:eastAsia="仿宋_GB2312" w:cs="Times New Roman"/>
          <w:color w:val="auto"/>
          <w:sz w:val="32"/>
          <w:szCs w:val="32"/>
          <w:lang w:val="en-US" w:eastAsia="zh-CN"/>
        </w:rPr>
        <w:t>省科技工作者队伍思想动态、职业发展、科研环境、权益保障、诉求期盼等实际情况，</w:t>
      </w:r>
      <w:r>
        <w:rPr>
          <w:rFonts w:hint="eastAsia" w:eastAsia="仿宋_GB2312" w:cs="Times New Roman"/>
          <w:color w:val="auto"/>
          <w:sz w:val="32"/>
          <w:szCs w:val="32"/>
          <w:lang w:val="en-US" w:eastAsia="zh-CN"/>
        </w:rPr>
        <w:t>充分</w:t>
      </w:r>
      <w:r>
        <w:rPr>
          <w:rFonts w:hint="default" w:ascii="Times New Roman" w:hAnsi="Times New Roman" w:eastAsia="仿宋_GB2312" w:cs="Times New Roman"/>
          <w:color w:val="auto"/>
          <w:sz w:val="32"/>
          <w:szCs w:val="32"/>
          <w:lang w:val="en-US" w:eastAsia="zh-CN"/>
        </w:rPr>
        <w:t>发挥</w:t>
      </w:r>
      <w:r>
        <w:rPr>
          <w:rFonts w:hint="eastAsia" w:eastAsia="仿宋_GB2312" w:cs="Times New Roman"/>
          <w:color w:val="auto"/>
          <w:sz w:val="32"/>
          <w:szCs w:val="32"/>
          <w:lang w:val="en-US" w:eastAsia="zh-CN"/>
        </w:rPr>
        <w:t>在黔</w:t>
      </w:r>
      <w:r>
        <w:rPr>
          <w:rFonts w:hint="default" w:ascii="Times New Roman" w:hAnsi="Times New Roman" w:eastAsia="仿宋_GB2312" w:cs="Times New Roman"/>
          <w:color w:val="auto"/>
          <w:sz w:val="32"/>
          <w:szCs w:val="32"/>
          <w:lang w:val="en-US" w:eastAsia="zh-CN"/>
        </w:rPr>
        <w:t>科技工作者状况调查站点（13个全国站点、20个省级站点）</w:t>
      </w:r>
      <w:r>
        <w:rPr>
          <w:rFonts w:hint="eastAsia" w:eastAsia="仿宋_GB2312" w:cs="Times New Roman"/>
          <w:color w:val="auto"/>
          <w:sz w:val="32"/>
          <w:szCs w:val="32"/>
          <w:lang w:val="en-US" w:eastAsia="zh-CN"/>
        </w:rPr>
        <w:t>以及科技社团等科协组织</w:t>
      </w:r>
      <w:r>
        <w:rPr>
          <w:rFonts w:hint="default" w:ascii="Times New Roman" w:hAnsi="Times New Roman" w:eastAsia="仿宋_GB2312" w:cs="Times New Roman"/>
          <w:color w:val="auto"/>
          <w:sz w:val="32"/>
          <w:szCs w:val="32"/>
          <w:lang w:val="en-US" w:eastAsia="zh-CN"/>
        </w:rPr>
        <w:t>作用，</w:t>
      </w:r>
      <w:r>
        <w:rPr>
          <w:rFonts w:hint="eastAsia" w:ascii="Times New Roman" w:hAnsi="Times New Roman" w:eastAsia="仿宋_GB2312" w:cs="Times New Roman"/>
          <w:color w:val="auto"/>
          <w:sz w:val="32"/>
          <w:szCs w:val="32"/>
          <w:lang w:val="en-US" w:eastAsia="zh-CN"/>
        </w:rPr>
        <w:t>开展科技工作状况调查</w:t>
      </w:r>
      <w:r>
        <w:rPr>
          <w:rFonts w:hint="eastAsia" w:eastAsia="仿宋_GB2312" w:cs="Times New Roman"/>
          <w:color w:val="auto"/>
          <w:sz w:val="32"/>
          <w:szCs w:val="32"/>
          <w:lang w:val="en-US" w:eastAsia="zh-CN"/>
        </w:rPr>
        <w:t>，持续</w:t>
      </w:r>
      <w:r>
        <w:rPr>
          <w:rFonts w:hint="default" w:ascii="Times New Roman" w:hAnsi="Times New Roman" w:eastAsia="仿宋_GB2312" w:cs="Times New Roman"/>
          <w:color w:val="auto"/>
          <w:sz w:val="32"/>
          <w:szCs w:val="32"/>
          <w:lang w:val="en-US" w:eastAsia="zh-CN"/>
        </w:rPr>
        <w:t>夯实科技智库建设基础，为省委、省政府制定科技人才、科技创新相关政策提供参考</w:t>
      </w:r>
      <w:r>
        <w:rPr>
          <w:rFonts w:hint="eastAsia" w:ascii="Times New Roman" w:hAnsi="Times New Roman" w:eastAsia="仿宋_GB2312" w:cs="Times New Roman"/>
          <w:color w:val="auto"/>
          <w:sz w:val="32"/>
          <w:szCs w:val="32"/>
          <w:lang w:val="en-US" w:eastAsia="zh-CN"/>
        </w:rPr>
        <w:t>。</w:t>
      </w:r>
    </w:p>
    <w:p w14:paraId="3F44A846">
      <w:pPr>
        <w:pStyle w:val="2"/>
        <w:ind w:firstLine="640" w:firstLineChars="200"/>
        <w:rPr>
          <w:rFonts w:hint="eastAsia" w:ascii="仿宋_GB2312" w:hAnsi="仿宋_GB2312" w:eastAsia="仿宋_GB2312" w:cs="仿宋_GB2312"/>
          <w:sz w:val="32"/>
          <w:szCs w:val="32"/>
        </w:rPr>
      </w:pPr>
    </w:p>
    <w:p w14:paraId="1D8CFD36">
      <w:pPr>
        <w:rPr>
          <w:rFonts w:hint="eastAsia" w:ascii="CESI仿宋-GB2312" w:hAnsi="CESI仿宋-GB2312" w:eastAsia="CESI仿宋-GB2312" w:cs="CESI仿宋-GB2312"/>
          <w:spacing w:val="15"/>
          <w:sz w:val="30"/>
          <w:szCs w:val="18"/>
          <w:lang w:eastAsia="zh-CN"/>
        </w:rPr>
      </w:pPr>
    </w:p>
    <w:p w14:paraId="4C799384">
      <w:pPr>
        <w:rPr>
          <w:rFonts w:hint="eastAsia" w:ascii="黑体" w:hAnsi="黑体" w:eastAsia="黑体" w:cs="黑体"/>
          <w:spacing w:val="15"/>
          <w:sz w:val="30"/>
          <w:szCs w:val="18"/>
          <w:lang w:eastAsia="zh-CN"/>
        </w:rPr>
      </w:pPr>
    </w:p>
    <w:p w14:paraId="3ACE881D">
      <w:pPr>
        <w:rPr>
          <w:rFonts w:hint="eastAsia" w:ascii="黑体" w:hAnsi="黑体" w:eastAsia="黑体" w:cs="黑体"/>
          <w:spacing w:val="15"/>
          <w:sz w:val="30"/>
          <w:szCs w:val="18"/>
          <w:lang w:eastAsia="zh-CN"/>
        </w:rPr>
      </w:pPr>
    </w:p>
    <w:p w14:paraId="5D3E5939">
      <w:pPr>
        <w:rPr>
          <w:rFonts w:hint="eastAsia" w:ascii="黑体" w:hAnsi="黑体" w:eastAsia="黑体" w:cs="黑体"/>
          <w:spacing w:val="15"/>
          <w:sz w:val="30"/>
          <w:szCs w:val="18"/>
          <w:lang w:eastAsia="zh-CN"/>
        </w:rPr>
      </w:pPr>
    </w:p>
    <w:p w14:paraId="0488BD5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44036DC-844E-472A-9D27-2B40B28CDA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F4C13BDB-77C6-4AD4-A08C-BD1B975B8F83}"/>
  </w:font>
  <w:font w:name="小标宋">
    <w:altName w:val="方正小标宋简体"/>
    <w:panose1 w:val="03000509000000000000"/>
    <w:charset w:val="86"/>
    <w:family w:val="auto"/>
    <w:pitch w:val="default"/>
    <w:sig w:usb0="00000000" w:usb1="00000000" w:usb2="00000000" w:usb3="00000000" w:csb0="00040000" w:csb1="00000000"/>
  </w:font>
  <w:font w:name="方正楷体_GB2312">
    <w:panose1 w:val="02000000000000000000"/>
    <w:charset w:val="86"/>
    <w:family w:val="auto"/>
    <w:pitch w:val="default"/>
    <w:sig w:usb0="A00002BF" w:usb1="184F6CFA" w:usb2="00000012" w:usb3="00000000" w:csb0="00040001" w:csb1="00000000"/>
    <w:embedRegular r:id="rId3" w:fontKey="{C713A219-0836-4767-B008-59379BD0ED05}"/>
  </w:font>
  <w:font w:name="仿宋_GB2312">
    <w:panose1 w:val="02010609030101010101"/>
    <w:charset w:val="86"/>
    <w:family w:val="modern"/>
    <w:pitch w:val="default"/>
    <w:sig w:usb0="00000001" w:usb1="080E0000" w:usb2="00000000" w:usb3="00000000" w:csb0="00040000" w:csb1="00000000"/>
    <w:embedRegular r:id="rId4" w:fontKey="{CB26A82F-B094-4551-835C-310004828F9D}"/>
  </w:font>
  <w:font w:name="楷体_GB2312">
    <w:panose1 w:val="02010609030101010101"/>
    <w:charset w:val="86"/>
    <w:family w:val="modern"/>
    <w:pitch w:val="default"/>
    <w:sig w:usb0="00000001" w:usb1="080E0000" w:usb2="00000000" w:usb3="00000000" w:csb0="00040000" w:csb1="00000000"/>
    <w:embedRegular r:id="rId5" w:fontKey="{59CD4434-995E-4075-A40F-72726BB401D8}"/>
  </w:font>
  <w:font w:name="CESI仿宋-GB2312">
    <w:altName w:val="仿宋"/>
    <w:panose1 w:val="02000500000000000000"/>
    <w:charset w:val="00"/>
    <w:family w:val="auto"/>
    <w:pitch w:val="default"/>
    <w:sig w:usb0="00000000" w:usb1="00000000" w:usb2="00000010" w:usb3="00000000" w:csb0="0004000F" w:csb1="00000000"/>
    <w:embedRegular r:id="rId6" w:fontKey="{66F3A651-215F-4A7D-A0CA-F8B1FB7E9053}"/>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6E09AF"/>
    <w:rsid w:val="3FF616FF"/>
    <w:rsid w:val="456E0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2026-09-30T07:50:00Z</dcterms:created>
  <dc:creator>夏鸣浅唱</dc:creator>
  <cp:lastModifiedBy>夏鸣浅唱</cp:lastModifiedBy>
  <dcterms:modified xsi:type="dcterms:W3CDTF">2026-09-30T07:51:23Z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394DE0053F134653AAC7AAE15745C6E4_13</vt:lpwstr>
  </property>
  <property fmtid="{D5CDD505-2E9C-101B-9397-08002B2CF9AE}" pid="4" name="KSOTemplateDocerSaveRecord">
    <vt:lpwstr>eyJoZGlkIjoiNDk0Y2VkNTk1M2ZlNjIzZjZmMzAzMjFiYzM5NDFhNjQiLCJ1c2VySWQiOiIzODE4NTg3NzkifQ==</vt:lpwstr>
  </property>
</Properties>
</file>